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8C0" w:rsidRPr="004A06BE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4A06BE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467FCA">
        <w:rPr>
          <w:rFonts w:ascii="Arial" w:eastAsia="宋体" w:hAnsi="Arial" w:cs="Arial"/>
          <w:b/>
          <w:bCs/>
          <w:kern w:val="0"/>
          <w:sz w:val="22"/>
          <w:lang w:val="en-GB"/>
        </w:rPr>
        <w:t>7</w:t>
      </w:r>
      <w:r w:rsidR="00BB3CE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b</w:t>
      </w:r>
      <w:r w:rsidR="00676541">
        <w:rPr>
          <w:rFonts w:ascii="Arial" w:eastAsia="宋体" w:hAnsi="Arial" w:cs="Arial"/>
          <w:b/>
          <w:bCs/>
          <w:kern w:val="0"/>
          <w:sz w:val="22"/>
          <w:lang w:val="en-GB"/>
        </w:rPr>
        <w:t>is</w:t>
      </w:r>
      <w:r w:rsidR="00A17B18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1A6A0A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CB6719">
        <w:rPr>
          <w:rFonts w:ascii="Arial" w:eastAsia="宋体" w:hAnsi="Arial" w:cs="Times New Roman" w:hint="eastAsia"/>
          <w:b/>
          <w:kern w:val="0"/>
          <w:sz w:val="22"/>
          <w:lang w:val="x-none"/>
        </w:rPr>
        <w:t>200013</w:t>
      </w:r>
      <w:bookmarkStart w:id="0" w:name="_GoBack"/>
      <w:bookmarkEnd w:id="0"/>
    </w:p>
    <w:p w:rsidR="00A578C0" w:rsidRPr="004A06BE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January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7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8D5332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 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– 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25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2</w:t>
      </w:r>
    </w:p>
    <w:p w:rsidR="00A578C0" w:rsidRPr="004A06BE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4A06BE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467FCA">
        <w:rPr>
          <w:rFonts w:ascii="Arial" w:eastAsia="宋体" w:hAnsi="Arial" w:cs="Times New Roman"/>
          <w:b/>
          <w:kern w:val="0"/>
          <w:sz w:val="22"/>
          <w:lang w:val="x-none"/>
        </w:rPr>
        <w:t>New H3C</w:t>
      </w:r>
    </w:p>
    <w:p w:rsidR="00A578C0" w:rsidRPr="004A06BE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4A06BE">
        <w:rPr>
          <w:rFonts w:ascii="Arial" w:eastAsia="宋体" w:hAnsi="Arial" w:cs="Times New Roman"/>
          <w:b/>
          <w:kern w:val="0"/>
          <w:sz w:val="22"/>
          <w:lang w:val="x-none"/>
        </w:rPr>
        <w:t xml:space="preserve">Discussion on </w:t>
      </w:r>
      <w:r w:rsidR="00836346" w:rsidRPr="004A06BE">
        <w:rPr>
          <w:rFonts w:ascii="Arial" w:eastAsia="宋体" w:hAnsi="Arial" w:cs="Times New Roman"/>
          <w:b/>
          <w:kern w:val="0"/>
          <w:sz w:val="22"/>
          <w:lang w:val="x-none"/>
        </w:rPr>
        <w:t>propagation</w:t>
      </w:r>
      <w:r w:rsidR="00836346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delay compensation enhancements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836346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3.4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4A06BE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4" w:name="_Ref521334010"/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4"/>
    </w:p>
    <w:p w:rsidR="009C3102" w:rsidRDefault="00F0051C" w:rsidP="00AF15F7">
      <w:pPr>
        <w:spacing w:beforeLines="50" w:before="120"/>
        <w:rPr>
          <w:rFonts w:ascii="Times New Roman" w:eastAsia="宋体" w:hAnsi="Times New Roman" w:cs="Times New Roman"/>
          <w:sz w:val="20"/>
          <w:szCs w:val="20"/>
        </w:rPr>
      </w:pPr>
      <w:r w:rsidRPr="004A06BE">
        <w:rPr>
          <w:rFonts w:ascii="Times New Roman" w:eastAsia="宋体" w:hAnsi="Times New Roman" w:cs="Times New Roman"/>
          <w:sz w:val="20"/>
          <w:szCs w:val="20"/>
        </w:rPr>
        <w:t>In the</w:t>
      </w:r>
      <w:r w:rsidRPr="004A06BE">
        <w:rPr>
          <w:rFonts w:ascii="Times New Roman" w:hAnsi="Times New Roman" w:cs="Times New Roman"/>
          <w:sz w:val="20"/>
          <w:szCs w:val="20"/>
        </w:rPr>
        <w:t xml:space="preserve"> RAN1 #10</w:t>
      </w:r>
      <w:r w:rsidR="00467FCA">
        <w:rPr>
          <w:rFonts w:ascii="Times New Roman" w:hAnsi="Times New Roman" w:cs="Times New Roman"/>
          <w:sz w:val="20"/>
          <w:szCs w:val="20"/>
        </w:rPr>
        <w:t>7</w:t>
      </w:r>
      <w:r w:rsidR="003D0A5D" w:rsidRPr="004A06BE">
        <w:rPr>
          <w:rFonts w:ascii="Times New Roman" w:hAnsi="Times New Roman" w:cs="Times New Roman"/>
          <w:sz w:val="20"/>
          <w:szCs w:val="20"/>
        </w:rPr>
        <w:t>-e</w:t>
      </w:r>
      <w:r w:rsidRPr="004A06BE">
        <w:rPr>
          <w:rFonts w:ascii="Times New Roman" w:hAnsi="Times New Roman" w:cs="Times New Roman"/>
          <w:sz w:val="20"/>
          <w:szCs w:val="20"/>
        </w:rPr>
        <w:t xml:space="preserve"> meeting, </w:t>
      </w:r>
      <w:r w:rsidRPr="004A06BE">
        <w:rPr>
          <w:rFonts w:ascii="Times New Roman" w:hAnsi="Times New Roman" w:cs="Times New Roman"/>
          <w:sz w:val="20"/>
          <w:szCs w:val="20"/>
          <w:lang w:eastAsia="fi-FI"/>
        </w:rPr>
        <w:t>enhancements for time synchronization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in Rel.17 IIOT/URLLC </w:t>
      </w:r>
      <w:r w:rsidR="003D0A5D" w:rsidRPr="004A06BE">
        <w:rPr>
          <w:rFonts w:ascii="Times New Roman" w:hAnsi="Times New Roman" w:cs="Times New Roman"/>
          <w:sz w:val="20"/>
          <w:szCs w:val="20"/>
        </w:rPr>
        <w:t xml:space="preserve">were </w:t>
      </w:r>
      <w:r w:rsidRPr="004A06BE">
        <w:rPr>
          <w:rFonts w:ascii="Times New Roman" w:hAnsi="Times New Roman" w:cs="Times New Roman"/>
          <w:sz w:val="20"/>
          <w:szCs w:val="20"/>
        </w:rPr>
        <w:t>discussed. Some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agreements </w:t>
      </w:r>
      <w:r w:rsidR="003D0A5D" w:rsidRPr="004A06BE">
        <w:rPr>
          <w:rFonts w:ascii="Times New Roman" w:eastAsia="宋体" w:hAnsi="Times New Roman" w:cs="Times New Roman"/>
          <w:sz w:val="20"/>
          <w:szCs w:val="20"/>
        </w:rPr>
        <w:t xml:space="preserve">were </w:t>
      </w:r>
      <w:r w:rsidRPr="004A06BE">
        <w:rPr>
          <w:rFonts w:ascii="Times New Roman" w:eastAsia="宋体" w:hAnsi="Times New Roman" w:cs="Times New Roman"/>
          <w:sz w:val="20"/>
          <w:szCs w:val="20"/>
        </w:rPr>
        <w:t>made as below [1].</w:t>
      </w:r>
    </w:p>
    <w:p w:rsidR="006D6DB4" w:rsidRPr="006D6DB4" w:rsidRDefault="006D6DB4" w:rsidP="006D6DB4">
      <w:pPr>
        <w:rPr>
          <w:rFonts w:ascii="Times New Roman" w:hAnsi="Times New Roman" w:cs="Times New Roman"/>
          <w:iCs/>
          <w:sz w:val="20"/>
          <w:szCs w:val="20"/>
          <w:highlight w:val="green"/>
          <w:lang w:eastAsia="x-none"/>
        </w:rPr>
      </w:pPr>
      <w:r w:rsidRPr="006D6DB4">
        <w:rPr>
          <w:rFonts w:ascii="Times New Roman" w:hAnsi="Times New Roman" w:cs="Times New Roman"/>
          <w:iCs/>
          <w:sz w:val="20"/>
          <w:szCs w:val="20"/>
          <w:highlight w:val="green"/>
          <w:lang w:eastAsia="x-none"/>
        </w:rPr>
        <w:t>Agreement</w:t>
      </w:r>
    </w:p>
    <w:p w:rsidR="006D6DB4" w:rsidRPr="006D6DB4" w:rsidRDefault="006D6DB4" w:rsidP="006D6DB4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6D6DB4">
        <w:rPr>
          <w:rFonts w:ascii="Times New Roman" w:hAnsi="Times New Roman" w:cs="Times New Roman"/>
          <w:color w:val="000000"/>
          <w:sz w:val="20"/>
          <w:szCs w:val="20"/>
        </w:rPr>
        <w:t xml:space="preserve">For Rel-17 </w:t>
      </w:r>
    </w:p>
    <w:p w:rsidR="006D6DB4" w:rsidRPr="006D6DB4" w:rsidRDefault="006D6DB4" w:rsidP="006D6DB4">
      <w:pPr>
        <w:pStyle w:val="a6"/>
        <w:widowControl/>
        <w:numPr>
          <w:ilvl w:val="0"/>
          <w:numId w:val="4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6D6DB4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Pr="006D6DB4">
        <w:rPr>
          <w:rFonts w:ascii="Times New Roman" w:hAnsi="Times New Roman" w:cs="Times New Roman"/>
          <w:sz w:val="20"/>
          <w:szCs w:val="20"/>
        </w:rPr>
        <w:t xml:space="preserve">upport RTT-based PDC method </w:t>
      </w:r>
    </w:p>
    <w:p w:rsidR="006D6DB4" w:rsidRPr="006D6DB4" w:rsidRDefault="006D6DB4" w:rsidP="006D6DB4">
      <w:pPr>
        <w:pStyle w:val="a6"/>
        <w:widowControl/>
        <w:numPr>
          <w:ilvl w:val="0"/>
          <w:numId w:val="4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6D6DB4">
        <w:rPr>
          <w:rFonts w:ascii="Times New Roman" w:hAnsi="Times New Roman" w:cs="Times New Roman"/>
          <w:color w:val="000000"/>
          <w:sz w:val="20"/>
          <w:szCs w:val="20"/>
        </w:rPr>
        <w:t xml:space="preserve">Support PDC method based on </w:t>
      </w:r>
      <w:r w:rsidRPr="006D6DB4">
        <w:rPr>
          <w:rFonts w:ascii="Times New Roman" w:hAnsi="Times New Roman" w:cs="Times New Roman"/>
          <w:sz w:val="20"/>
          <w:szCs w:val="20"/>
        </w:rPr>
        <w:t>legacy TA-based mechanism</w:t>
      </w:r>
    </w:p>
    <w:p w:rsidR="006D6DB4" w:rsidRPr="006D6DB4" w:rsidRDefault="006D6DB4" w:rsidP="006D6DB4">
      <w:pPr>
        <w:pStyle w:val="a6"/>
        <w:widowControl/>
        <w:numPr>
          <w:ilvl w:val="1"/>
          <w:numId w:val="4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6D6DB4">
        <w:rPr>
          <w:rFonts w:ascii="Times New Roman" w:hAnsi="Times New Roman" w:cs="Times New Roman"/>
          <w:color w:val="000000"/>
          <w:sz w:val="20"/>
          <w:szCs w:val="20"/>
        </w:rPr>
        <w:t>No RAN1/RAN4 specification impact expected</w:t>
      </w:r>
    </w:p>
    <w:p w:rsidR="006D6DB4" w:rsidRPr="006D6DB4" w:rsidRDefault="006D6DB4" w:rsidP="006D6DB4">
      <w:pPr>
        <w:rPr>
          <w:rFonts w:ascii="Times New Roman" w:hAnsi="Times New Roman" w:cs="Times New Roman"/>
          <w:sz w:val="20"/>
          <w:szCs w:val="20"/>
          <w:highlight w:val="green"/>
        </w:rPr>
      </w:pPr>
      <w:r w:rsidRPr="006D6DB4">
        <w:rPr>
          <w:rFonts w:ascii="Times New Roman" w:hAnsi="Times New Roman" w:cs="Times New Roman"/>
          <w:sz w:val="20"/>
          <w:szCs w:val="20"/>
          <w:highlight w:val="green"/>
        </w:rPr>
        <w:t>Agreement</w:t>
      </w:r>
    </w:p>
    <w:p w:rsidR="006D6DB4" w:rsidRPr="006D6DB4" w:rsidRDefault="006D6DB4" w:rsidP="006D6DB4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6D6DB4">
        <w:rPr>
          <w:rFonts w:ascii="Times New Roman" w:hAnsi="Times New Roman" w:cs="Times New Roman"/>
          <w:sz w:val="20"/>
          <w:szCs w:val="20"/>
        </w:rPr>
        <w:t>For RTT-based PDC, existing definitions of UE Rx – Tx time difference (i.e. section 5.1.30 in TS 38.215) and gNB Rx – Tx time difference (i.e. section 5.2.3 in TS 38.215) are reused</w:t>
      </w:r>
      <w:r w:rsidRPr="006D6DB4">
        <w:rPr>
          <w:rFonts w:ascii="Times New Roman" w:hAnsi="Times New Roman" w:cs="Times New Roman"/>
          <w:color w:val="000000"/>
          <w:sz w:val="20"/>
          <w:szCs w:val="20"/>
        </w:rPr>
        <w:t>, with updates at least to reflect the single pair of TRS/PRS and SRS configured for RTT-based PDC.</w:t>
      </w:r>
    </w:p>
    <w:p w:rsidR="006D6DB4" w:rsidRPr="006D6DB4" w:rsidRDefault="006D6DB4" w:rsidP="006D6DB4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6D6DB4" w:rsidRPr="006D6DB4" w:rsidRDefault="006D6DB4" w:rsidP="006D6DB4">
      <w:pPr>
        <w:rPr>
          <w:rFonts w:ascii="Times New Roman" w:hAnsi="Times New Roman" w:cs="Times New Roman"/>
          <w:sz w:val="20"/>
          <w:szCs w:val="20"/>
          <w:highlight w:val="green"/>
        </w:rPr>
      </w:pPr>
      <w:r w:rsidRPr="006D6DB4">
        <w:rPr>
          <w:rFonts w:ascii="Times New Roman" w:hAnsi="Times New Roman" w:cs="Times New Roman"/>
          <w:sz w:val="20"/>
          <w:szCs w:val="20"/>
          <w:highlight w:val="green"/>
        </w:rPr>
        <w:t>Agreement</w:t>
      </w:r>
    </w:p>
    <w:p w:rsidR="006D6DB4" w:rsidRPr="006D6DB4" w:rsidRDefault="006D6DB4" w:rsidP="006D6DB4">
      <w:pPr>
        <w:rPr>
          <w:rFonts w:ascii="Times New Roman" w:hAnsi="Times New Roman" w:cs="Times New Roman"/>
          <w:sz w:val="20"/>
          <w:szCs w:val="20"/>
        </w:rPr>
      </w:pPr>
      <w:r w:rsidRPr="006D6DB4">
        <w:rPr>
          <w:rFonts w:ascii="Times New Roman" w:hAnsi="Times New Roman" w:cs="Times New Roman"/>
          <w:sz w:val="20"/>
          <w:szCs w:val="20"/>
        </w:rPr>
        <w:t>Send an LS to RAN2 and RAN4 with the content including:</w:t>
      </w:r>
    </w:p>
    <w:p w:rsidR="006D6DB4" w:rsidRPr="006D6DB4" w:rsidRDefault="006D6DB4" w:rsidP="006D6DB4">
      <w:pPr>
        <w:pStyle w:val="a6"/>
        <w:widowControl/>
        <w:numPr>
          <w:ilvl w:val="0"/>
          <w:numId w:val="4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6D6DB4">
        <w:rPr>
          <w:rFonts w:ascii="Times New Roman" w:hAnsi="Times New Roman" w:cs="Times New Roman"/>
          <w:bCs/>
          <w:sz w:val="20"/>
          <w:szCs w:val="20"/>
        </w:rPr>
        <w:t>The agreements made in RAN1#107-e for propagation delay compensation.</w:t>
      </w:r>
    </w:p>
    <w:p w:rsidR="006D6DB4" w:rsidRPr="006D6DB4" w:rsidRDefault="006D6DB4" w:rsidP="006D6DB4">
      <w:pPr>
        <w:pStyle w:val="a6"/>
        <w:widowControl/>
        <w:numPr>
          <w:ilvl w:val="0"/>
          <w:numId w:val="4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6D6DB4">
        <w:rPr>
          <w:rFonts w:ascii="Times New Roman" w:hAnsi="Times New Roman" w:cs="Times New Roman"/>
          <w:bCs/>
          <w:sz w:val="20"/>
          <w:szCs w:val="20"/>
        </w:rPr>
        <w:t>Ask RAN4 to define the following for RTT-based propagation delay compensation:</w:t>
      </w:r>
    </w:p>
    <w:p w:rsidR="006D6DB4" w:rsidRPr="006D6DB4" w:rsidRDefault="006D6DB4" w:rsidP="006D6DB4">
      <w:pPr>
        <w:pStyle w:val="a6"/>
        <w:widowControl/>
        <w:numPr>
          <w:ilvl w:val="1"/>
          <w:numId w:val="4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6D6DB4">
        <w:rPr>
          <w:rFonts w:ascii="Times New Roman" w:hAnsi="Times New Roman" w:cs="Times New Roman"/>
          <w:sz w:val="20"/>
          <w:szCs w:val="20"/>
        </w:rPr>
        <w:t>UE Rx-Tx time difference measurement accuracy based on CSI-RS for tracking</w:t>
      </w:r>
    </w:p>
    <w:p w:rsidR="006D6DB4" w:rsidRPr="006D6DB4" w:rsidRDefault="006D6DB4" w:rsidP="006D6DB4">
      <w:pPr>
        <w:pStyle w:val="a6"/>
        <w:widowControl/>
        <w:numPr>
          <w:ilvl w:val="1"/>
          <w:numId w:val="4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6D6DB4">
        <w:rPr>
          <w:rFonts w:ascii="Times New Roman" w:hAnsi="Times New Roman" w:cs="Times New Roman"/>
          <w:sz w:val="20"/>
          <w:szCs w:val="20"/>
        </w:rPr>
        <w:t>UE Rx-Tx time difference measurement accuracy based on PRS (including reuse existing spec if appropriate)</w:t>
      </w:r>
    </w:p>
    <w:p w:rsidR="006D6DB4" w:rsidRPr="006D6DB4" w:rsidRDefault="006D6DB4" w:rsidP="006D6DB4">
      <w:pPr>
        <w:pStyle w:val="a6"/>
        <w:widowControl/>
        <w:numPr>
          <w:ilvl w:val="1"/>
          <w:numId w:val="4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6D6DB4">
        <w:rPr>
          <w:rFonts w:ascii="Times New Roman" w:hAnsi="Times New Roman" w:cs="Times New Roman"/>
          <w:sz w:val="20"/>
          <w:szCs w:val="20"/>
        </w:rPr>
        <w:t>gNB Rx-Tx time difference absolute accuracy</w:t>
      </w:r>
      <w:r w:rsidRPr="006D6DB4">
        <w:rPr>
          <w:rFonts w:ascii="Times New Roman" w:hAnsi="Times New Roman" w:cs="Times New Roman"/>
          <w:bCs/>
          <w:sz w:val="20"/>
          <w:szCs w:val="20"/>
        </w:rPr>
        <w:fldChar w:fldCharType="begin"/>
      </w:r>
      <w:r w:rsidRPr="006D6DB4">
        <w:rPr>
          <w:rFonts w:ascii="Times New Roman" w:hAnsi="Times New Roman" w:cs="Times New Roman"/>
          <w:bCs/>
          <w:sz w:val="20"/>
          <w:szCs w:val="20"/>
        </w:rPr>
        <w:instrText xml:space="preserve"> QUOTE </w:instrText>
      </w:r>
      <w:r w:rsidRPr="006D6DB4">
        <w:rPr>
          <w:rFonts w:ascii="Times New Roman" w:hAnsi="Times New Roman" w:cs="Times New Roman"/>
          <w:sz w:val="20"/>
          <w:szCs w:val="20"/>
        </w:rPr>
        <w:instrText>errorgNB,RxTxDiff</w:instrText>
      </w:r>
      <w:r w:rsidRPr="006D6DB4">
        <w:rPr>
          <w:rFonts w:ascii="Times New Roman" w:hAnsi="Times New Roman" w:cs="Times New Roman"/>
          <w:bCs/>
          <w:sz w:val="20"/>
          <w:szCs w:val="20"/>
        </w:rPr>
        <w:instrText xml:space="preserve"> </w:instrText>
      </w:r>
      <w:r w:rsidRPr="006D6DB4">
        <w:rPr>
          <w:rFonts w:ascii="Times New Roman" w:hAnsi="Times New Roman" w:cs="Times New Roman"/>
          <w:sz w:val="20"/>
          <w:szCs w:val="20"/>
        </w:rPr>
        <w:fldChar w:fldCharType="end"/>
      </w:r>
      <w:r w:rsidRPr="006D6DB4">
        <w:rPr>
          <w:rFonts w:ascii="Times New Roman" w:hAnsi="Times New Roman" w:cs="Times New Roman"/>
          <w:sz w:val="20"/>
          <w:szCs w:val="20"/>
        </w:rPr>
        <w:t xml:space="preserve"> </w:t>
      </w:r>
      <w:r w:rsidRPr="006D6DB4">
        <w:rPr>
          <w:rFonts w:ascii="Times New Roman" w:hAnsi="Times New Roman" w:cs="Times New Roman"/>
          <w:bCs/>
          <w:sz w:val="20"/>
          <w:szCs w:val="20"/>
        </w:rPr>
        <w:t xml:space="preserve">based on SRS </w:t>
      </w:r>
      <w:r w:rsidRPr="006D6DB4">
        <w:rPr>
          <w:rFonts w:ascii="Times New Roman" w:hAnsi="Times New Roman" w:cs="Times New Roman"/>
          <w:sz w:val="20"/>
          <w:szCs w:val="20"/>
        </w:rPr>
        <w:t>(including reuse existing spec if appropriate)</w:t>
      </w:r>
    </w:p>
    <w:p w:rsidR="006D6DB4" w:rsidRPr="006D6DB4" w:rsidRDefault="006D6DB4" w:rsidP="006D6DB4">
      <w:pPr>
        <w:pStyle w:val="a6"/>
        <w:widowControl/>
        <w:numPr>
          <w:ilvl w:val="0"/>
          <w:numId w:val="4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6D6DB4">
        <w:rPr>
          <w:rFonts w:ascii="Times New Roman" w:hAnsi="Times New Roman" w:cs="Times New Roman"/>
          <w:bCs/>
          <w:sz w:val="20"/>
          <w:szCs w:val="20"/>
        </w:rPr>
        <w:t>Inform RAN4 that enhanced TA-based PDC with reduced Te and enhanced TA command granularity is precluded in RAN1.</w:t>
      </w:r>
    </w:p>
    <w:p w:rsidR="006D6DB4" w:rsidRPr="006D6DB4" w:rsidRDefault="006D6DB4" w:rsidP="006D6DB4">
      <w:pPr>
        <w:rPr>
          <w:rFonts w:ascii="Times New Roman" w:hAnsi="Times New Roman" w:cs="Times New Roman"/>
          <w:bCs/>
          <w:sz w:val="20"/>
          <w:szCs w:val="20"/>
          <w:u w:val="single"/>
        </w:rPr>
      </w:pPr>
      <w:r w:rsidRPr="006D6DB4">
        <w:rPr>
          <w:rFonts w:ascii="Times New Roman" w:hAnsi="Times New Roman" w:cs="Times New Roman"/>
          <w:bCs/>
          <w:sz w:val="20"/>
          <w:szCs w:val="20"/>
          <w:u w:val="single"/>
        </w:rPr>
        <w:t>Conclusion</w:t>
      </w:r>
    </w:p>
    <w:p w:rsidR="006D6DB4" w:rsidRPr="006D6DB4" w:rsidRDefault="006D6DB4" w:rsidP="006D6DB4">
      <w:pPr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D6DB4">
        <w:rPr>
          <w:rFonts w:ascii="Times New Roman" w:hAnsi="Times New Roman" w:cs="Times New Roman"/>
          <w:bCs/>
          <w:color w:val="000000"/>
          <w:sz w:val="20"/>
          <w:szCs w:val="20"/>
        </w:rPr>
        <w:t>For RTT-based PDC, it is assumed that the transmission of DL TRS/PRS, UL SRS and reference time information are associated with a same TRP.</w:t>
      </w:r>
    </w:p>
    <w:p w:rsidR="006D6DB4" w:rsidRPr="006D6DB4" w:rsidRDefault="006D6DB4" w:rsidP="006D6DB4">
      <w:pPr>
        <w:rPr>
          <w:rFonts w:ascii="Times New Roman" w:hAnsi="Times New Roman" w:cs="Times New Roman"/>
          <w:bCs/>
          <w:i/>
          <w:sz w:val="20"/>
          <w:szCs w:val="20"/>
        </w:rPr>
      </w:pPr>
      <w:r w:rsidRPr="006D6DB4">
        <w:rPr>
          <w:rFonts w:ascii="Times New Roman" w:hAnsi="Times New Roman" w:cs="Times New Roman"/>
          <w:bCs/>
          <w:sz w:val="20"/>
          <w:szCs w:val="20"/>
        </w:rPr>
        <w:t>Note: No RAN1 specification impact is expected for this conclusion</w:t>
      </w:r>
    </w:p>
    <w:p w:rsidR="006D6DB4" w:rsidRPr="006D6DB4" w:rsidRDefault="006D6DB4" w:rsidP="006D6DB4">
      <w:pPr>
        <w:rPr>
          <w:rFonts w:ascii="Times New Roman" w:hAnsi="Times New Roman" w:cs="Times New Roman"/>
          <w:i/>
          <w:sz w:val="20"/>
          <w:szCs w:val="20"/>
        </w:rPr>
      </w:pPr>
    </w:p>
    <w:p w:rsidR="006D6DB4" w:rsidRPr="006D6DB4" w:rsidRDefault="006D6DB4" w:rsidP="006D6DB4">
      <w:pPr>
        <w:rPr>
          <w:rFonts w:ascii="Times New Roman" w:hAnsi="Times New Roman" w:cs="Times New Roman"/>
          <w:sz w:val="20"/>
          <w:szCs w:val="20"/>
          <w:highlight w:val="green"/>
        </w:rPr>
      </w:pPr>
      <w:r w:rsidRPr="006D6DB4">
        <w:rPr>
          <w:rFonts w:ascii="Times New Roman" w:hAnsi="Times New Roman" w:cs="Times New Roman"/>
          <w:sz w:val="20"/>
          <w:szCs w:val="20"/>
          <w:highlight w:val="green"/>
        </w:rPr>
        <w:t>Agreement</w:t>
      </w:r>
    </w:p>
    <w:p w:rsidR="006D6DB4" w:rsidRPr="006D6DB4" w:rsidRDefault="006D6DB4" w:rsidP="006D6DB4">
      <w:pPr>
        <w:rPr>
          <w:rFonts w:ascii="Times New Roman" w:hAnsi="Times New Roman" w:cs="Times New Roman"/>
          <w:i/>
          <w:sz w:val="20"/>
          <w:szCs w:val="20"/>
        </w:rPr>
      </w:pPr>
      <w:r w:rsidRPr="006D6DB4">
        <w:rPr>
          <w:rFonts w:ascii="Times New Roman" w:hAnsi="Times New Roman" w:cs="Times New Roman"/>
          <w:sz w:val="20"/>
          <w:szCs w:val="20"/>
        </w:rPr>
        <w:t xml:space="preserve">For RTT-based propagation delay compensation, the </w:t>
      </w:r>
      <w:r w:rsidRPr="006D6DB4">
        <w:rPr>
          <w:rFonts w:ascii="Times New Roman" w:hAnsi="Times New Roman" w:cs="Times New Roman"/>
          <w:bCs/>
          <w:sz w:val="20"/>
          <w:szCs w:val="20"/>
        </w:rPr>
        <w:t>Rx-Tx time difference is reported via RRC signalling.</w:t>
      </w:r>
    </w:p>
    <w:p w:rsidR="006D6DB4" w:rsidRPr="006D6DB4" w:rsidRDefault="006D6DB4" w:rsidP="006D6DB4">
      <w:pPr>
        <w:rPr>
          <w:rFonts w:ascii="Times New Roman" w:hAnsi="Times New Roman" w:cs="Times New Roman"/>
          <w:i/>
          <w:sz w:val="20"/>
          <w:szCs w:val="20"/>
        </w:rPr>
      </w:pPr>
    </w:p>
    <w:p w:rsidR="006D6DB4" w:rsidRPr="006D6DB4" w:rsidRDefault="006D6DB4" w:rsidP="006D6DB4">
      <w:pPr>
        <w:rPr>
          <w:rFonts w:ascii="Times New Roman" w:hAnsi="Times New Roman" w:cs="Times New Roman"/>
          <w:bCs/>
          <w:sz w:val="20"/>
          <w:szCs w:val="20"/>
          <w:u w:val="single"/>
        </w:rPr>
      </w:pPr>
      <w:r w:rsidRPr="006D6DB4">
        <w:rPr>
          <w:rFonts w:ascii="Times New Roman" w:hAnsi="Times New Roman" w:cs="Times New Roman"/>
          <w:bCs/>
          <w:sz w:val="20"/>
          <w:szCs w:val="20"/>
          <w:u w:val="single"/>
        </w:rPr>
        <w:t>Conclusion</w:t>
      </w:r>
    </w:p>
    <w:p w:rsidR="003D0A5D" w:rsidRPr="006D6DB4" w:rsidRDefault="006D6DB4" w:rsidP="006D6DB4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6D6DB4">
        <w:rPr>
          <w:rFonts w:ascii="Times New Roman" w:hAnsi="Times New Roman" w:cs="Times New Roman"/>
          <w:bCs/>
          <w:sz w:val="20"/>
          <w:szCs w:val="20"/>
        </w:rPr>
        <w:t>The reporting range of Rx-Tx time difference measurement for RTT-based PDC is up to RAN4.</w:t>
      </w:r>
    </w:p>
    <w:p w:rsidR="00270FD3" w:rsidRDefault="00270FD3" w:rsidP="006F2B0A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6F2B0A" w:rsidRPr="006F2B0A" w:rsidRDefault="006F2B0A" w:rsidP="006F2B0A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In this contribution, we further provide our considerations on the </w:t>
      </w:r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evaluation on overall error of the time synchronization and </w:t>
      </w:r>
      <w:r w:rsidRPr="004A06BE">
        <w:rPr>
          <w:rFonts w:ascii="Times New Roman" w:hAnsi="Times New Roman" w:cs="Times New Roman"/>
          <w:sz w:val="20"/>
          <w:szCs w:val="20"/>
        </w:rPr>
        <w:t>the propagation delay compensation enhancements.</w:t>
      </w:r>
    </w:p>
    <w:p w:rsidR="000A5CDA" w:rsidRPr="004A06BE" w:rsidRDefault="00A578C0" w:rsidP="0066311F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77604D" w:rsidRDefault="0094167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It was agreed in RAN1#10</w:t>
      </w:r>
      <w:r w:rsidR="00467FCA">
        <w:rPr>
          <w:rFonts w:ascii="Times New Roman" w:hAnsi="Times New Roman" w:cs="Times New Roman"/>
          <w:kern w:val="0"/>
          <w:sz w:val="20"/>
          <w:szCs w:val="20"/>
          <w:lang w:val="en-GB"/>
        </w:rPr>
        <w:t>7</w:t>
      </w:r>
      <w:r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-e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meeting</w:t>
      </w:r>
      <w:r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that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67FCA">
        <w:rPr>
          <w:rFonts w:ascii="Times New Roman" w:hAnsi="Times New Roman" w:cs="Times New Roman"/>
          <w:kern w:val="0"/>
          <w:sz w:val="20"/>
          <w:szCs w:val="20"/>
          <w:lang w:val="en-GB"/>
        </w:rPr>
        <w:t>f</w:t>
      </w:r>
      <w:r w:rsidR="00467FCA" w:rsidRPr="00467FCA">
        <w:rPr>
          <w:rFonts w:ascii="Times New Roman" w:hAnsi="Times New Roman" w:cs="Times New Roman"/>
          <w:kern w:val="0"/>
          <w:sz w:val="20"/>
          <w:szCs w:val="20"/>
          <w:lang w:val="en-GB"/>
        </w:rPr>
        <w:t>or RTT-based PDC, existing definitions of UE Rx – Tx time difference (i.e. section 5.1.30 in TS 38.215) and gNB Rx – Tx time difference (i.e. section 5.2.3 in TS 38.215) are reused, with updates at least to reflect the single pair of TRS/PRS and S</w:t>
      </w:r>
      <w:r w:rsidR="00467FCA">
        <w:rPr>
          <w:rFonts w:ascii="Times New Roman" w:hAnsi="Times New Roman" w:cs="Times New Roman"/>
          <w:kern w:val="0"/>
          <w:sz w:val="20"/>
          <w:szCs w:val="20"/>
          <w:lang w:val="en-GB"/>
        </w:rPr>
        <w:t>RS configured for RTT-based PDC</w:t>
      </w:r>
      <w:r w:rsidRPr="009416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77604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47D8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our view, 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if TRS and PRS are configured for </w:t>
      </w:r>
      <w:r w:rsidR="00F10651" w:rsidRPr="00467FCA">
        <w:rPr>
          <w:rFonts w:ascii="Times New Roman" w:hAnsi="Times New Roman" w:cs="Times New Roman"/>
          <w:kern w:val="0"/>
          <w:sz w:val="20"/>
          <w:szCs w:val="20"/>
          <w:lang w:val="en-GB"/>
        </w:rPr>
        <w:t>PDC</w:t>
      </w:r>
      <w:r w:rsidR="00F10651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measurement simultaneously, </w:t>
      </w:r>
      <w:r w:rsidR="00A14C1D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SRS-Resource-I</w:t>
      </w:r>
      <w:r w:rsidR="00A14C1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</w:t>
      </w:r>
      <w:r w:rsidR="00A14C1D" w:rsidRPr="00A14C1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77604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should be included in the </w:t>
      </w:r>
      <w:r w:rsidR="0077604D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Rx-Tx measurement report provided from the gNB to the UE</w:t>
      </w:r>
      <w:r w:rsidR="0077604D" w:rsidRPr="00A14C1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71D3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</w:t>
      </w:r>
      <w:r w:rsidR="00F1065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order to pair the SRS and TRS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/</w:t>
      </w:r>
      <w:r w:rsidR="00F1065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PRS</w:t>
      </w:r>
      <w:r w:rsidR="00071D3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a </w:t>
      </w:r>
      <w:r w:rsidR="00071D3E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gNB Rx-Tx time difference</w:t>
      </w:r>
      <w:r w:rsidR="00D769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</w:t>
      </w:r>
      <w:r w:rsidR="00071D3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 is also beneficial for mitigating the </w:t>
      </w:r>
      <w:r w:rsidR="00071D3E" w:rsidRPr="00071D3E">
        <w:rPr>
          <w:rFonts w:ascii="Times New Roman" w:hAnsi="Times New Roman" w:cs="Times New Roman"/>
          <w:kern w:val="0"/>
          <w:sz w:val="20"/>
          <w:szCs w:val="20"/>
          <w:lang w:val="en-GB"/>
        </w:rPr>
        <w:t>Rx/Tx timing</w:t>
      </w:r>
      <w:r w:rsidR="00071D3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errors.</w:t>
      </w:r>
    </w:p>
    <w:p w:rsidR="00CB0AC8" w:rsidRDefault="00CB0AC8" w:rsidP="00FA415F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="00385E3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F1065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1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 w:rsidR="00D306D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</w:t>
      </w:r>
      <w:r w:rsidRPr="00CB0AC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he Rx-Tx measurement report provided from the gNB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D769F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cludes </w:t>
      </w:r>
      <w:r w:rsidRPr="00CB0AC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SRS-Resource-ID</w:t>
      </w:r>
      <w:r w:rsidR="00D306D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F10651" w:rsidRDefault="00F10651" w:rsidP="00FA415F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F10651"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>In addition,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if TRS and PRS are configured for </w:t>
      </w:r>
      <w:r w:rsidRPr="00467FCA">
        <w:rPr>
          <w:rFonts w:ascii="Times New Roman" w:hAnsi="Times New Roman" w:cs="Times New Roman"/>
          <w:kern w:val="0"/>
          <w:sz w:val="20"/>
          <w:szCs w:val="20"/>
          <w:lang w:val="en-GB"/>
        </w:rPr>
        <w:t>PDC</w:t>
      </w:r>
      <w:r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measurement simultaneously, dl</w:t>
      </w:r>
      <w:r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PRS</w:t>
      </w:r>
      <w:r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-I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/csi-RS (</w:t>
      </w:r>
      <w:r w:rsidRP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The ID of a CSI-RS resource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 w:rsidRPr="00A14C1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should be included in the </w:t>
      </w:r>
      <w:r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Rx-Tx measurement report provided from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UE</w:t>
      </w:r>
      <w:r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r w:rsidRPr="00A14C1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 order to pair the SRS and TRS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/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PRS for a </w:t>
      </w:r>
      <w:r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gNB Rx-Tx time difference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F10651" w:rsidRDefault="00F10651" w:rsidP="00FA415F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="00385E3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2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</w:t>
      </w:r>
      <w:r w:rsidRPr="00CB0AC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he Rx-Tx measurement report provided from the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UE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cludes </w:t>
      </w:r>
      <w:r w:rsidRPr="00F1065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dl-PRS-ID/csi-RS (The ID of a CSI-RS resource)</w:t>
      </w:r>
      <w:r w:rsidRPr="00F1065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F10651" w:rsidRDefault="00F10651" w:rsidP="00FA415F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B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ased on the agreement </w:t>
      </w:r>
      <w:r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in RAN1#10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7</w:t>
      </w:r>
      <w:r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-e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meeting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P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compensation, the Rx-Tx time difference is reported via RRC signalling</w:t>
      </w:r>
      <w:r w:rsidR="0067654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which is defined in TS 38.331</w:t>
      </w:r>
      <w:r w:rsidRPr="00F10651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So it is bet</w:t>
      </w:r>
      <w:r w:rsidR="00676541">
        <w:rPr>
          <w:rFonts w:ascii="Times New Roman" w:hAnsi="Times New Roman" w:cs="Times New Roman"/>
          <w:kern w:val="0"/>
          <w:sz w:val="20"/>
          <w:szCs w:val="20"/>
          <w:lang w:val="en-GB"/>
        </w:rPr>
        <w:t>ter to leave detailed signalling design to RAN2.</w:t>
      </w:r>
    </w:p>
    <w:p w:rsidR="00676541" w:rsidRPr="00F10651" w:rsidRDefault="00676541" w:rsidP="00FA415F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="00385E3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3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 w:rsidRPr="0067654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detailed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RRC </w:t>
      </w:r>
      <w:r w:rsidRPr="0067654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signalling design for Rx-Tx time difference measurement reporting for RTT-based PDC is up to RAN2.</w:t>
      </w: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0A1C5A" w:rsidRPr="00F10651" w:rsidRDefault="00473E9E" w:rsidP="000A1C5A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</w:t>
      </w:r>
      <w:r w:rsidR="00DF351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</w:t>
      </w:r>
      <w:r w:rsidR="007B19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6311F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about</w:t>
      </w:r>
      <w:r w:rsidR="00E73510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TSN supported by 5GS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with the following </w:t>
      </w:r>
      <w:r w:rsidR="005F779B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observation and 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proposal.</w:t>
      </w:r>
    </w:p>
    <w:p w:rsidR="00D02C74" w:rsidRDefault="00D02C74" w:rsidP="00D02C74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="004643D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F1065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1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</w:t>
      </w:r>
      <w:r w:rsidRPr="00CB0AC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he Rx-Tx measurement report provided from the gNB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cludes </w:t>
      </w:r>
      <w:r w:rsidRPr="00CB0AC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SRS-Resource-ID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F10651" w:rsidRDefault="00F10651" w:rsidP="00D02C74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="004643D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2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</w:t>
      </w:r>
      <w:r w:rsidRPr="00CB0AC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he Rx-Tx measurement report provided from the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UE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cludes </w:t>
      </w:r>
      <w:r w:rsidRPr="00F1065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dl-PRS-ID/csi-RS (The ID of a CSI-RS resource)</w:t>
      </w:r>
      <w:r w:rsidRPr="00F1065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676541" w:rsidRDefault="00676541" w:rsidP="00D02C74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="004643D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3</w:t>
      </w:r>
      <w:r w:rsidRPr="00CB0AC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 w:rsidRPr="0067654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detailed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RRC </w:t>
      </w:r>
      <w:r w:rsidRPr="0067654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signalling design for Rx-Tx time difference measurement reporting for RTT-based PDC is up to RAN2.</w:t>
      </w:r>
    </w:p>
    <w:p w:rsidR="00A5188B" w:rsidRPr="004A06BE" w:rsidRDefault="00A5188B" w:rsidP="00A5188B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BB3CEF" w:rsidRPr="00BB3CEF" w:rsidRDefault="00BB3CEF" w:rsidP="00DF6593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Chairman’s Notes, RAN1#10</w:t>
      </w:r>
      <w:r w:rsidR="00F10651">
        <w:rPr>
          <w:rFonts w:ascii="Times New Roman" w:eastAsia="宋体" w:hAnsi="Times New Roman" w:cs="Times New Roman"/>
          <w:noProof/>
          <w:sz w:val="20"/>
          <w:szCs w:val="20"/>
        </w:rPr>
        <w:t>7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-e,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 xml:space="preserve"> </w:t>
      </w:r>
      <w:r w:rsidRPr="004A06BE">
        <w:rPr>
          <w:rFonts w:ascii="Times New Roman" w:eastAsia="宋体" w:hAnsi="Times New Roman" w:cs="Times New Roman" w:hint="eastAsia"/>
          <w:noProof/>
          <w:sz w:val="20"/>
          <w:szCs w:val="20"/>
        </w:rPr>
        <w:t>final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,</w:t>
      </w:r>
      <w:r w:rsidRPr="004A06B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676541">
        <w:rPr>
          <w:rFonts w:ascii="Times New Roman" w:eastAsia="宋体" w:hAnsi="Times New Roman" w:cs="Times New Roman"/>
          <w:noProof/>
          <w:sz w:val="20"/>
          <w:szCs w:val="20"/>
        </w:rPr>
        <w:t>November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 xml:space="preserve"> </w:t>
      </w:r>
      <w:r w:rsidR="00676541">
        <w:rPr>
          <w:rFonts w:ascii="Times New Roman" w:eastAsia="宋体" w:hAnsi="Times New Roman" w:cs="Times New Roman" w:hint="eastAsia"/>
          <w:noProof/>
          <w:sz w:val="20"/>
          <w:szCs w:val="20"/>
        </w:rPr>
        <w:t>1</w:t>
      </w:r>
      <w:r w:rsidR="00676541">
        <w:rPr>
          <w:rFonts w:ascii="Times New Roman" w:eastAsia="宋体" w:hAnsi="Times New Roman" w:cs="Times New Roman"/>
          <w:noProof/>
          <w:sz w:val="20"/>
          <w:szCs w:val="20"/>
        </w:rPr>
        <w:t>1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 xml:space="preserve">th – </w:t>
      </w:r>
      <w:r w:rsidR="00676541">
        <w:rPr>
          <w:rFonts w:ascii="Times New Roman" w:eastAsia="宋体" w:hAnsi="Times New Roman" w:cs="Times New Roman"/>
          <w:noProof/>
          <w:sz w:val="20"/>
          <w:szCs w:val="20"/>
        </w:rPr>
        <w:t>19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th</w:t>
      </w:r>
      <w:r>
        <w:rPr>
          <w:rFonts w:ascii="Times New Roman" w:eastAsia="宋体" w:hAnsi="Times New Roman" w:cs="Times New Roman"/>
          <w:noProof/>
          <w:sz w:val="20"/>
          <w:szCs w:val="20"/>
        </w:rPr>
        <w:t>, 202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>1</w:t>
      </w:r>
    </w:p>
    <w:sectPr w:rsidR="00BB3CEF" w:rsidRPr="00BB3CEF" w:rsidSect="0020764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630" w:rsidRDefault="00126630" w:rsidP="00A578C0">
      <w:r>
        <w:separator/>
      </w:r>
    </w:p>
  </w:endnote>
  <w:endnote w:type="continuationSeparator" w:id="0">
    <w:p w:rsidR="00126630" w:rsidRDefault="00126630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630" w:rsidRDefault="00126630" w:rsidP="00A578C0">
      <w:r>
        <w:separator/>
      </w:r>
    </w:p>
  </w:footnote>
  <w:footnote w:type="continuationSeparator" w:id="0">
    <w:p w:rsidR="00126630" w:rsidRDefault="00126630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E318A2BA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GB"/>
      </w:rPr>
    </w:lvl>
  </w:abstractNum>
  <w:abstractNum w:abstractNumId="1" w15:restartNumberingAfterBreak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2CA2AF9"/>
    <w:multiLevelType w:val="hybridMultilevel"/>
    <w:tmpl w:val="AB8EF7B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0E3F4F"/>
    <w:multiLevelType w:val="hybridMultilevel"/>
    <w:tmpl w:val="EC725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91601"/>
    <w:multiLevelType w:val="multilevel"/>
    <w:tmpl w:val="A05C7C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theme="minorBidi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Theme="minorEastAsia" w:hAnsi="Times New Roman" w:cstheme="minorBidi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Theme="minorEastAsia" w:hAnsi="Times New Roman" w:cstheme="minorBidi" w:hint="default"/>
        <w:b w:val="0"/>
        <w:sz w:val="20"/>
      </w:rPr>
    </w:lvl>
  </w:abstractNum>
  <w:abstractNum w:abstractNumId="6" w15:restartNumberingAfterBreak="0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87D2E49"/>
    <w:multiLevelType w:val="multilevel"/>
    <w:tmpl w:val="187D2E4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C5651"/>
    <w:multiLevelType w:val="hybridMultilevel"/>
    <w:tmpl w:val="732820D2"/>
    <w:lvl w:ilvl="0" w:tplc="20B41BA4">
      <w:start w:val="4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449E5"/>
    <w:multiLevelType w:val="hybridMultilevel"/>
    <w:tmpl w:val="228C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965285"/>
    <w:multiLevelType w:val="hybridMultilevel"/>
    <w:tmpl w:val="FF0CFA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00776"/>
    <w:multiLevelType w:val="hybridMultilevel"/>
    <w:tmpl w:val="CC767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3C444012"/>
    <w:multiLevelType w:val="hybridMultilevel"/>
    <w:tmpl w:val="4CA26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64164ED"/>
    <w:multiLevelType w:val="hybridMultilevel"/>
    <w:tmpl w:val="4BAEC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9509F0"/>
    <w:multiLevelType w:val="multilevel"/>
    <w:tmpl w:val="469509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320052"/>
    <w:multiLevelType w:val="hybridMultilevel"/>
    <w:tmpl w:val="90E2CD70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C2F71C3"/>
    <w:multiLevelType w:val="hybridMultilevel"/>
    <w:tmpl w:val="979E0E1C"/>
    <w:lvl w:ilvl="0" w:tplc="53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181025D"/>
    <w:multiLevelType w:val="hybridMultilevel"/>
    <w:tmpl w:val="C94E6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F7F6B"/>
    <w:multiLevelType w:val="hybridMultilevel"/>
    <w:tmpl w:val="1DA80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E80FC0"/>
    <w:multiLevelType w:val="hybridMultilevel"/>
    <w:tmpl w:val="EB3CF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8A3618"/>
    <w:multiLevelType w:val="hybridMultilevel"/>
    <w:tmpl w:val="F0C2F6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7FB0D58"/>
    <w:multiLevelType w:val="hybridMultilevel"/>
    <w:tmpl w:val="1474F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BA6FFC"/>
    <w:multiLevelType w:val="hybridMultilevel"/>
    <w:tmpl w:val="22163046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C12FA9"/>
    <w:multiLevelType w:val="hybridMultilevel"/>
    <w:tmpl w:val="B43014D8"/>
    <w:lvl w:ilvl="0" w:tplc="8B24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32313"/>
    <w:multiLevelType w:val="hybridMultilevel"/>
    <w:tmpl w:val="8A3E0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9A36DF"/>
    <w:multiLevelType w:val="hybridMultilevel"/>
    <w:tmpl w:val="FE48B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5"/>
  </w:num>
  <w:num w:numId="4">
    <w:abstractNumId w:val="39"/>
  </w:num>
  <w:num w:numId="5">
    <w:abstractNumId w:val="8"/>
  </w:num>
  <w:num w:numId="6">
    <w:abstractNumId w:val="12"/>
  </w:num>
  <w:num w:numId="7">
    <w:abstractNumId w:val="6"/>
  </w:num>
  <w:num w:numId="8">
    <w:abstractNumId w:val="32"/>
  </w:num>
  <w:num w:numId="9">
    <w:abstractNumId w:val="22"/>
  </w:num>
  <w:num w:numId="10">
    <w:abstractNumId w:val="42"/>
  </w:num>
  <w:num w:numId="11">
    <w:abstractNumId w:val="40"/>
  </w:num>
  <w:num w:numId="12">
    <w:abstractNumId w:val="30"/>
  </w:num>
  <w:num w:numId="13">
    <w:abstractNumId w:val="16"/>
  </w:num>
  <w:num w:numId="14">
    <w:abstractNumId w:val="33"/>
  </w:num>
  <w:num w:numId="15">
    <w:abstractNumId w:val="38"/>
  </w:num>
  <w:num w:numId="16">
    <w:abstractNumId w:val="38"/>
  </w:num>
  <w:num w:numId="17">
    <w:abstractNumId w:val="17"/>
  </w:num>
  <w:num w:numId="18">
    <w:abstractNumId w:val="21"/>
  </w:num>
  <w:num w:numId="19">
    <w:abstractNumId w:val="34"/>
  </w:num>
  <w:num w:numId="20">
    <w:abstractNumId w:val="4"/>
  </w:num>
  <w:num w:numId="21">
    <w:abstractNumId w:val="28"/>
  </w:num>
  <w:num w:numId="22">
    <w:abstractNumId w:val="18"/>
  </w:num>
  <w:num w:numId="23">
    <w:abstractNumId w:val="41"/>
  </w:num>
  <w:num w:numId="24">
    <w:abstractNumId w:val="11"/>
  </w:num>
  <w:num w:numId="25">
    <w:abstractNumId w:val="27"/>
  </w:num>
  <w:num w:numId="26">
    <w:abstractNumId w:val="37"/>
  </w:num>
  <w:num w:numId="27">
    <w:abstractNumId w:val="5"/>
  </w:num>
  <w:num w:numId="28">
    <w:abstractNumId w:val="9"/>
  </w:num>
  <w:num w:numId="29">
    <w:abstractNumId w:val="36"/>
  </w:num>
  <w:num w:numId="30">
    <w:abstractNumId w:val="43"/>
  </w:num>
  <w:num w:numId="31">
    <w:abstractNumId w:val="36"/>
  </w:num>
  <w:num w:numId="32">
    <w:abstractNumId w:val="29"/>
  </w:num>
  <w:num w:numId="33">
    <w:abstractNumId w:val="0"/>
  </w:num>
  <w:num w:numId="34">
    <w:abstractNumId w:val="26"/>
  </w:num>
  <w:num w:numId="35">
    <w:abstractNumId w:val="35"/>
  </w:num>
  <w:num w:numId="36">
    <w:abstractNumId w:val="2"/>
  </w:num>
  <w:num w:numId="37">
    <w:abstractNumId w:val="7"/>
  </w:num>
  <w:num w:numId="38">
    <w:abstractNumId w:val="13"/>
  </w:num>
  <w:num w:numId="39">
    <w:abstractNumId w:val="23"/>
  </w:num>
  <w:num w:numId="40">
    <w:abstractNumId w:val="14"/>
  </w:num>
  <w:num w:numId="41">
    <w:abstractNumId w:val="20"/>
  </w:num>
  <w:num w:numId="42">
    <w:abstractNumId w:val="24"/>
  </w:num>
  <w:num w:numId="43">
    <w:abstractNumId w:val="10"/>
  </w:num>
  <w:num w:numId="44">
    <w:abstractNumId w:val="25"/>
  </w:num>
  <w:num w:numId="45">
    <w:abstractNumId w:val="31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F19"/>
    <w:rsid w:val="00000555"/>
    <w:rsid w:val="00002F53"/>
    <w:rsid w:val="00003437"/>
    <w:rsid w:val="00007ACD"/>
    <w:rsid w:val="00007C66"/>
    <w:rsid w:val="00010399"/>
    <w:rsid w:val="000137B6"/>
    <w:rsid w:val="00015940"/>
    <w:rsid w:val="00022CAF"/>
    <w:rsid w:val="00030C5E"/>
    <w:rsid w:val="00042A65"/>
    <w:rsid w:val="000443A2"/>
    <w:rsid w:val="000474D9"/>
    <w:rsid w:val="00054955"/>
    <w:rsid w:val="00056DDE"/>
    <w:rsid w:val="000605E6"/>
    <w:rsid w:val="00062A9E"/>
    <w:rsid w:val="00063E0D"/>
    <w:rsid w:val="00066A85"/>
    <w:rsid w:val="000701F9"/>
    <w:rsid w:val="00071D3E"/>
    <w:rsid w:val="00077040"/>
    <w:rsid w:val="000855E6"/>
    <w:rsid w:val="000A1C5A"/>
    <w:rsid w:val="000A253A"/>
    <w:rsid w:val="000A5A40"/>
    <w:rsid w:val="000A5CDA"/>
    <w:rsid w:val="000B3BC7"/>
    <w:rsid w:val="000B427E"/>
    <w:rsid w:val="000B64EA"/>
    <w:rsid w:val="000C2AC7"/>
    <w:rsid w:val="000C3EC5"/>
    <w:rsid w:val="000D1D50"/>
    <w:rsid w:val="000D65A7"/>
    <w:rsid w:val="000E088B"/>
    <w:rsid w:val="000E160E"/>
    <w:rsid w:val="000E66A2"/>
    <w:rsid w:val="000F55B2"/>
    <w:rsid w:val="000F7827"/>
    <w:rsid w:val="00102FD7"/>
    <w:rsid w:val="00104183"/>
    <w:rsid w:val="0010576F"/>
    <w:rsid w:val="00105878"/>
    <w:rsid w:val="00107CA0"/>
    <w:rsid w:val="00120AD5"/>
    <w:rsid w:val="00126630"/>
    <w:rsid w:val="001314B7"/>
    <w:rsid w:val="001328CB"/>
    <w:rsid w:val="0013396E"/>
    <w:rsid w:val="00135413"/>
    <w:rsid w:val="00136000"/>
    <w:rsid w:val="00137CA9"/>
    <w:rsid w:val="00140564"/>
    <w:rsid w:val="00142825"/>
    <w:rsid w:val="00144729"/>
    <w:rsid w:val="00146ED0"/>
    <w:rsid w:val="00164058"/>
    <w:rsid w:val="001707CD"/>
    <w:rsid w:val="00173760"/>
    <w:rsid w:val="001738C4"/>
    <w:rsid w:val="001773ED"/>
    <w:rsid w:val="00192DCD"/>
    <w:rsid w:val="00193172"/>
    <w:rsid w:val="001A5C5A"/>
    <w:rsid w:val="001A6A0A"/>
    <w:rsid w:val="001A6A3D"/>
    <w:rsid w:val="001B3F67"/>
    <w:rsid w:val="001B5300"/>
    <w:rsid w:val="001C54ED"/>
    <w:rsid w:val="001C7237"/>
    <w:rsid w:val="001D1E03"/>
    <w:rsid w:val="001E2AC0"/>
    <w:rsid w:val="001E4D8D"/>
    <w:rsid w:val="001F42A7"/>
    <w:rsid w:val="001F54A5"/>
    <w:rsid w:val="0020383B"/>
    <w:rsid w:val="002069DC"/>
    <w:rsid w:val="00206ED8"/>
    <w:rsid w:val="00207649"/>
    <w:rsid w:val="002113BD"/>
    <w:rsid w:val="00215C94"/>
    <w:rsid w:val="0022153E"/>
    <w:rsid w:val="002224FF"/>
    <w:rsid w:val="00224DBF"/>
    <w:rsid w:val="002254FB"/>
    <w:rsid w:val="00225A64"/>
    <w:rsid w:val="002305BB"/>
    <w:rsid w:val="002344D7"/>
    <w:rsid w:val="0024169A"/>
    <w:rsid w:val="00245AD4"/>
    <w:rsid w:val="0024744C"/>
    <w:rsid w:val="002531E8"/>
    <w:rsid w:val="00262CE9"/>
    <w:rsid w:val="00265D57"/>
    <w:rsid w:val="00270FD3"/>
    <w:rsid w:val="00283A65"/>
    <w:rsid w:val="00286A83"/>
    <w:rsid w:val="00293BBE"/>
    <w:rsid w:val="002A1831"/>
    <w:rsid w:val="002A3326"/>
    <w:rsid w:val="002A3F55"/>
    <w:rsid w:val="002A43A1"/>
    <w:rsid w:val="002B048B"/>
    <w:rsid w:val="002B2245"/>
    <w:rsid w:val="002B469D"/>
    <w:rsid w:val="002C490D"/>
    <w:rsid w:val="002D18F5"/>
    <w:rsid w:val="002D5079"/>
    <w:rsid w:val="002E08D1"/>
    <w:rsid w:val="002F0A21"/>
    <w:rsid w:val="002F7346"/>
    <w:rsid w:val="003018B7"/>
    <w:rsid w:val="00307FB0"/>
    <w:rsid w:val="00310B68"/>
    <w:rsid w:val="00316F69"/>
    <w:rsid w:val="00321210"/>
    <w:rsid w:val="003214F4"/>
    <w:rsid w:val="00321B0B"/>
    <w:rsid w:val="003224A7"/>
    <w:rsid w:val="00340FD3"/>
    <w:rsid w:val="00343302"/>
    <w:rsid w:val="003454E3"/>
    <w:rsid w:val="003525D2"/>
    <w:rsid w:val="00352A44"/>
    <w:rsid w:val="00357E2C"/>
    <w:rsid w:val="00362F05"/>
    <w:rsid w:val="003635EF"/>
    <w:rsid w:val="00366B60"/>
    <w:rsid w:val="0036751F"/>
    <w:rsid w:val="0037342D"/>
    <w:rsid w:val="00377B8A"/>
    <w:rsid w:val="00382CEC"/>
    <w:rsid w:val="00385E3B"/>
    <w:rsid w:val="0038764A"/>
    <w:rsid w:val="003903E5"/>
    <w:rsid w:val="003A7604"/>
    <w:rsid w:val="003B2055"/>
    <w:rsid w:val="003B465C"/>
    <w:rsid w:val="003B52F8"/>
    <w:rsid w:val="003B6BBF"/>
    <w:rsid w:val="003B7E18"/>
    <w:rsid w:val="003C2406"/>
    <w:rsid w:val="003D0A5D"/>
    <w:rsid w:val="003D4B88"/>
    <w:rsid w:val="003D50AA"/>
    <w:rsid w:val="003D78A3"/>
    <w:rsid w:val="003F3762"/>
    <w:rsid w:val="003F3BD9"/>
    <w:rsid w:val="00402D1D"/>
    <w:rsid w:val="00402D66"/>
    <w:rsid w:val="004051D9"/>
    <w:rsid w:val="00413292"/>
    <w:rsid w:val="00415A15"/>
    <w:rsid w:val="00417EC0"/>
    <w:rsid w:val="00420E3F"/>
    <w:rsid w:val="00433ED1"/>
    <w:rsid w:val="00443F5F"/>
    <w:rsid w:val="00444225"/>
    <w:rsid w:val="004500D2"/>
    <w:rsid w:val="00450A5D"/>
    <w:rsid w:val="00450B70"/>
    <w:rsid w:val="004643D5"/>
    <w:rsid w:val="00465B71"/>
    <w:rsid w:val="00465FCC"/>
    <w:rsid w:val="00467FCA"/>
    <w:rsid w:val="00473E9E"/>
    <w:rsid w:val="004767FA"/>
    <w:rsid w:val="00476938"/>
    <w:rsid w:val="00481E71"/>
    <w:rsid w:val="00486938"/>
    <w:rsid w:val="004949D5"/>
    <w:rsid w:val="004A06BE"/>
    <w:rsid w:val="004A10CB"/>
    <w:rsid w:val="004A303C"/>
    <w:rsid w:val="004A4A4E"/>
    <w:rsid w:val="004A705E"/>
    <w:rsid w:val="004B0142"/>
    <w:rsid w:val="004C1D12"/>
    <w:rsid w:val="004C500F"/>
    <w:rsid w:val="004C5B2F"/>
    <w:rsid w:val="004D4719"/>
    <w:rsid w:val="004D5032"/>
    <w:rsid w:val="004E071D"/>
    <w:rsid w:val="004E2E7D"/>
    <w:rsid w:val="004E5C0C"/>
    <w:rsid w:val="004E70BA"/>
    <w:rsid w:val="00502C42"/>
    <w:rsid w:val="0050787A"/>
    <w:rsid w:val="00511571"/>
    <w:rsid w:val="005124EA"/>
    <w:rsid w:val="00521ED8"/>
    <w:rsid w:val="00533FE1"/>
    <w:rsid w:val="00534E57"/>
    <w:rsid w:val="00535B1A"/>
    <w:rsid w:val="00544FE4"/>
    <w:rsid w:val="00547461"/>
    <w:rsid w:val="00550557"/>
    <w:rsid w:val="00553D9B"/>
    <w:rsid w:val="005609C1"/>
    <w:rsid w:val="00562145"/>
    <w:rsid w:val="00565903"/>
    <w:rsid w:val="00566A5C"/>
    <w:rsid w:val="005769C1"/>
    <w:rsid w:val="00576FDA"/>
    <w:rsid w:val="005822E4"/>
    <w:rsid w:val="00592D9D"/>
    <w:rsid w:val="00594BFB"/>
    <w:rsid w:val="00596317"/>
    <w:rsid w:val="00597238"/>
    <w:rsid w:val="005A1AE8"/>
    <w:rsid w:val="005A643E"/>
    <w:rsid w:val="005B2303"/>
    <w:rsid w:val="005B311E"/>
    <w:rsid w:val="005B500C"/>
    <w:rsid w:val="005C03CA"/>
    <w:rsid w:val="005C1818"/>
    <w:rsid w:val="005C420B"/>
    <w:rsid w:val="005D18A5"/>
    <w:rsid w:val="005D4B1E"/>
    <w:rsid w:val="005E507A"/>
    <w:rsid w:val="005E6D3C"/>
    <w:rsid w:val="005F779B"/>
    <w:rsid w:val="0061336B"/>
    <w:rsid w:val="0061441C"/>
    <w:rsid w:val="00616764"/>
    <w:rsid w:val="00620208"/>
    <w:rsid w:val="00623F49"/>
    <w:rsid w:val="0062456D"/>
    <w:rsid w:val="0062671D"/>
    <w:rsid w:val="0062682B"/>
    <w:rsid w:val="00626AA6"/>
    <w:rsid w:val="006344F4"/>
    <w:rsid w:val="00635236"/>
    <w:rsid w:val="00636F20"/>
    <w:rsid w:val="00643C26"/>
    <w:rsid w:val="006453D7"/>
    <w:rsid w:val="0065568F"/>
    <w:rsid w:val="006606EC"/>
    <w:rsid w:val="0066210A"/>
    <w:rsid w:val="0066311F"/>
    <w:rsid w:val="006636E0"/>
    <w:rsid w:val="006759FF"/>
    <w:rsid w:val="00675E58"/>
    <w:rsid w:val="00676541"/>
    <w:rsid w:val="00685118"/>
    <w:rsid w:val="00686A0A"/>
    <w:rsid w:val="00691CBB"/>
    <w:rsid w:val="00695CC2"/>
    <w:rsid w:val="00696B7D"/>
    <w:rsid w:val="006A6B89"/>
    <w:rsid w:val="006B086A"/>
    <w:rsid w:val="006B08A9"/>
    <w:rsid w:val="006B2596"/>
    <w:rsid w:val="006B6A62"/>
    <w:rsid w:val="006D3EF4"/>
    <w:rsid w:val="006D47CD"/>
    <w:rsid w:val="006D6DB4"/>
    <w:rsid w:val="006D70B2"/>
    <w:rsid w:val="006D7857"/>
    <w:rsid w:val="006E361A"/>
    <w:rsid w:val="006E780A"/>
    <w:rsid w:val="006F2B0A"/>
    <w:rsid w:val="006F6EA7"/>
    <w:rsid w:val="007019D8"/>
    <w:rsid w:val="00703778"/>
    <w:rsid w:val="007037EB"/>
    <w:rsid w:val="00703B1A"/>
    <w:rsid w:val="00705278"/>
    <w:rsid w:val="007103CF"/>
    <w:rsid w:val="00730DAC"/>
    <w:rsid w:val="007356DE"/>
    <w:rsid w:val="007360F3"/>
    <w:rsid w:val="00737F83"/>
    <w:rsid w:val="00741358"/>
    <w:rsid w:val="0074215F"/>
    <w:rsid w:val="0074631B"/>
    <w:rsid w:val="00750473"/>
    <w:rsid w:val="00753833"/>
    <w:rsid w:val="0075584C"/>
    <w:rsid w:val="00755AC8"/>
    <w:rsid w:val="007757D6"/>
    <w:rsid w:val="0077604D"/>
    <w:rsid w:val="00781066"/>
    <w:rsid w:val="00781CD4"/>
    <w:rsid w:val="00781F62"/>
    <w:rsid w:val="00782C29"/>
    <w:rsid w:val="0078307B"/>
    <w:rsid w:val="00792E64"/>
    <w:rsid w:val="007A196D"/>
    <w:rsid w:val="007B03E2"/>
    <w:rsid w:val="007B0BD0"/>
    <w:rsid w:val="007B19EB"/>
    <w:rsid w:val="007B3CD5"/>
    <w:rsid w:val="007B4A64"/>
    <w:rsid w:val="007B4A91"/>
    <w:rsid w:val="007B6166"/>
    <w:rsid w:val="007B7821"/>
    <w:rsid w:val="007C6E02"/>
    <w:rsid w:val="007C7FDA"/>
    <w:rsid w:val="007D1D7F"/>
    <w:rsid w:val="007E1FDD"/>
    <w:rsid w:val="007E22A1"/>
    <w:rsid w:val="007E7E28"/>
    <w:rsid w:val="007E7F51"/>
    <w:rsid w:val="007F3436"/>
    <w:rsid w:val="007F35D2"/>
    <w:rsid w:val="007F64AB"/>
    <w:rsid w:val="007F7CAF"/>
    <w:rsid w:val="00800355"/>
    <w:rsid w:val="00802572"/>
    <w:rsid w:val="00812625"/>
    <w:rsid w:val="00836346"/>
    <w:rsid w:val="00837909"/>
    <w:rsid w:val="008423E4"/>
    <w:rsid w:val="00843BFB"/>
    <w:rsid w:val="00843D5F"/>
    <w:rsid w:val="00850D43"/>
    <w:rsid w:val="00851459"/>
    <w:rsid w:val="00855F2C"/>
    <w:rsid w:val="00864061"/>
    <w:rsid w:val="008770C2"/>
    <w:rsid w:val="00877D6E"/>
    <w:rsid w:val="00883DCA"/>
    <w:rsid w:val="00884961"/>
    <w:rsid w:val="00885BC5"/>
    <w:rsid w:val="00893684"/>
    <w:rsid w:val="008A0387"/>
    <w:rsid w:val="008A271B"/>
    <w:rsid w:val="008A4895"/>
    <w:rsid w:val="008A5656"/>
    <w:rsid w:val="008B111D"/>
    <w:rsid w:val="008B4EE6"/>
    <w:rsid w:val="008C4111"/>
    <w:rsid w:val="008C42CF"/>
    <w:rsid w:val="008C44F3"/>
    <w:rsid w:val="008C5D3D"/>
    <w:rsid w:val="008D3D73"/>
    <w:rsid w:val="008D5332"/>
    <w:rsid w:val="008E2F85"/>
    <w:rsid w:val="008F06F1"/>
    <w:rsid w:val="008F258F"/>
    <w:rsid w:val="009032D9"/>
    <w:rsid w:val="00906E8A"/>
    <w:rsid w:val="00912323"/>
    <w:rsid w:val="00921728"/>
    <w:rsid w:val="009321B1"/>
    <w:rsid w:val="00941672"/>
    <w:rsid w:val="00947D8C"/>
    <w:rsid w:val="00952CE2"/>
    <w:rsid w:val="00960E45"/>
    <w:rsid w:val="009616CA"/>
    <w:rsid w:val="0096732A"/>
    <w:rsid w:val="00967708"/>
    <w:rsid w:val="00975EC0"/>
    <w:rsid w:val="009772B4"/>
    <w:rsid w:val="009776C9"/>
    <w:rsid w:val="009812D1"/>
    <w:rsid w:val="00981C91"/>
    <w:rsid w:val="00985AC0"/>
    <w:rsid w:val="00990ED9"/>
    <w:rsid w:val="009A0ABF"/>
    <w:rsid w:val="009A1175"/>
    <w:rsid w:val="009A3194"/>
    <w:rsid w:val="009B261C"/>
    <w:rsid w:val="009B62C0"/>
    <w:rsid w:val="009C3102"/>
    <w:rsid w:val="009D3AFD"/>
    <w:rsid w:val="009D46D5"/>
    <w:rsid w:val="009F1B9C"/>
    <w:rsid w:val="009F31BB"/>
    <w:rsid w:val="009F47F5"/>
    <w:rsid w:val="009F54C2"/>
    <w:rsid w:val="00A007D5"/>
    <w:rsid w:val="00A02FA9"/>
    <w:rsid w:val="00A0324A"/>
    <w:rsid w:val="00A0341C"/>
    <w:rsid w:val="00A11B06"/>
    <w:rsid w:val="00A14C1D"/>
    <w:rsid w:val="00A17B18"/>
    <w:rsid w:val="00A2126D"/>
    <w:rsid w:val="00A22296"/>
    <w:rsid w:val="00A25083"/>
    <w:rsid w:val="00A318C0"/>
    <w:rsid w:val="00A3422D"/>
    <w:rsid w:val="00A35A78"/>
    <w:rsid w:val="00A35C78"/>
    <w:rsid w:val="00A35F19"/>
    <w:rsid w:val="00A364AB"/>
    <w:rsid w:val="00A408CF"/>
    <w:rsid w:val="00A44298"/>
    <w:rsid w:val="00A450CD"/>
    <w:rsid w:val="00A50CE9"/>
    <w:rsid w:val="00A51147"/>
    <w:rsid w:val="00A5188B"/>
    <w:rsid w:val="00A53BF7"/>
    <w:rsid w:val="00A578C0"/>
    <w:rsid w:val="00A62586"/>
    <w:rsid w:val="00A65D4E"/>
    <w:rsid w:val="00A65FE9"/>
    <w:rsid w:val="00A73647"/>
    <w:rsid w:val="00A83E66"/>
    <w:rsid w:val="00A8647F"/>
    <w:rsid w:val="00A95DA4"/>
    <w:rsid w:val="00AA3128"/>
    <w:rsid w:val="00AA50C0"/>
    <w:rsid w:val="00AC5463"/>
    <w:rsid w:val="00AC7F63"/>
    <w:rsid w:val="00AD3D40"/>
    <w:rsid w:val="00AD7D8E"/>
    <w:rsid w:val="00AE21C2"/>
    <w:rsid w:val="00AE4543"/>
    <w:rsid w:val="00AF15F7"/>
    <w:rsid w:val="00AF7B30"/>
    <w:rsid w:val="00B07614"/>
    <w:rsid w:val="00B146A4"/>
    <w:rsid w:val="00B152E2"/>
    <w:rsid w:val="00B375FC"/>
    <w:rsid w:val="00B53DC0"/>
    <w:rsid w:val="00B608D2"/>
    <w:rsid w:val="00B6162D"/>
    <w:rsid w:val="00B6664C"/>
    <w:rsid w:val="00B66E0F"/>
    <w:rsid w:val="00B70C65"/>
    <w:rsid w:val="00B7145D"/>
    <w:rsid w:val="00B7490D"/>
    <w:rsid w:val="00B8388E"/>
    <w:rsid w:val="00B9571E"/>
    <w:rsid w:val="00B96E2E"/>
    <w:rsid w:val="00BA3452"/>
    <w:rsid w:val="00BB3CEF"/>
    <w:rsid w:val="00BC1B55"/>
    <w:rsid w:val="00BC1C38"/>
    <w:rsid w:val="00BC5DCB"/>
    <w:rsid w:val="00C038AE"/>
    <w:rsid w:val="00C11E46"/>
    <w:rsid w:val="00C17161"/>
    <w:rsid w:val="00C32876"/>
    <w:rsid w:val="00C33030"/>
    <w:rsid w:val="00C33AFB"/>
    <w:rsid w:val="00C42295"/>
    <w:rsid w:val="00C42B12"/>
    <w:rsid w:val="00C5061B"/>
    <w:rsid w:val="00C542FF"/>
    <w:rsid w:val="00C54F30"/>
    <w:rsid w:val="00C6078C"/>
    <w:rsid w:val="00C61F53"/>
    <w:rsid w:val="00C75375"/>
    <w:rsid w:val="00C77748"/>
    <w:rsid w:val="00C85E6F"/>
    <w:rsid w:val="00C8645C"/>
    <w:rsid w:val="00C87316"/>
    <w:rsid w:val="00C94150"/>
    <w:rsid w:val="00C947EA"/>
    <w:rsid w:val="00C94AD1"/>
    <w:rsid w:val="00CB0AC8"/>
    <w:rsid w:val="00CB0C02"/>
    <w:rsid w:val="00CB381B"/>
    <w:rsid w:val="00CB46B2"/>
    <w:rsid w:val="00CB6719"/>
    <w:rsid w:val="00CC03DC"/>
    <w:rsid w:val="00CC300E"/>
    <w:rsid w:val="00CC5A74"/>
    <w:rsid w:val="00CD63DC"/>
    <w:rsid w:val="00CE39AA"/>
    <w:rsid w:val="00CF48EA"/>
    <w:rsid w:val="00CF577E"/>
    <w:rsid w:val="00D001F5"/>
    <w:rsid w:val="00D006D3"/>
    <w:rsid w:val="00D02C74"/>
    <w:rsid w:val="00D06C39"/>
    <w:rsid w:val="00D07BFB"/>
    <w:rsid w:val="00D25DF4"/>
    <w:rsid w:val="00D306D5"/>
    <w:rsid w:val="00D30B4E"/>
    <w:rsid w:val="00D34210"/>
    <w:rsid w:val="00D401C7"/>
    <w:rsid w:val="00D43FB3"/>
    <w:rsid w:val="00D533B8"/>
    <w:rsid w:val="00D55B25"/>
    <w:rsid w:val="00D56570"/>
    <w:rsid w:val="00D57F9E"/>
    <w:rsid w:val="00D64D04"/>
    <w:rsid w:val="00D73056"/>
    <w:rsid w:val="00D769F7"/>
    <w:rsid w:val="00D80485"/>
    <w:rsid w:val="00D825EE"/>
    <w:rsid w:val="00D82E25"/>
    <w:rsid w:val="00D876EB"/>
    <w:rsid w:val="00D90389"/>
    <w:rsid w:val="00D91A46"/>
    <w:rsid w:val="00D9266A"/>
    <w:rsid w:val="00D930D3"/>
    <w:rsid w:val="00D94A2F"/>
    <w:rsid w:val="00D97791"/>
    <w:rsid w:val="00DA143B"/>
    <w:rsid w:val="00DA1B8C"/>
    <w:rsid w:val="00DA73E0"/>
    <w:rsid w:val="00DB57C7"/>
    <w:rsid w:val="00DC0054"/>
    <w:rsid w:val="00DC3075"/>
    <w:rsid w:val="00DC71C2"/>
    <w:rsid w:val="00DD1A01"/>
    <w:rsid w:val="00DD2A9A"/>
    <w:rsid w:val="00DE046B"/>
    <w:rsid w:val="00DE070C"/>
    <w:rsid w:val="00DE26EA"/>
    <w:rsid w:val="00DE48F4"/>
    <w:rsid w:val="00DF215D"/>
    <w:rsid w:val="00DF33FF"/>
    <w:rsid w:val="00DF3512"/>
    <w:rsid w:val="00DF6593"/>
    <w:rsid w:val="00DF7A6B"/>
    <w:rsid w:val="00E00DE7"/>
    <w:rsid w:val="00E04E85"/>
    <w:rsid w:val="00E05CD9"/>
    <w:rsid w:val="00E0672B"/>
    <w:rsid w:val="00E20D04"/>
    <w:rsid w:val="00E21B74"/>
    <w:rsid w:val="00E263B7"/>
    <w:rsid w:val="00E33082"/>
    <w:rsid w:val="00E3364B"/>
    <w:rsid w:val="00E34712"/>
    <w:rsid w:val="00E366DE"/>
    <w:rsid w:val="00E61116"/>
    <w:rsid w:val="00E7005E"/>
    <w:rsid w:val="00E73510"/>
    <w:rsid w:val="00E80BCF"/>
    <w:rsid w:val="00E82442"/>
    <w:rsid w:val="00E93D4B"/>
    <w:rsid w:val="00EA3CF5"/>
    <w:rsid w:val="00EA638F"/>
    <w:rsid w:val="00EC1FE6"/>
    <w:rsid w:val="00ED2846"/>
    <w:rsid w:val="00EE777A"/>
    <w:rsid w:val="00EF60D3"/>
    <w:rsid w:val="00F0051C"/>
    <w:rsid w:val="00F00656"/>
    <w:rsid w:val="00F01BC7"/>
    <w:rsid w:val="00F03767"/>
    <w:rsid w:val="00F04231"/>
    <w:rsid w:val="00F04FCA"/>
    <w:rsid w:val="00F104AB"/>
    <w:rsid w:val="00F105E2"/>
    <w:rsid w:val="00F10651"/>
    <w:rsid w:val="00F2324F"/>
    <w:rsid w:val="00F25BDD"/>
    <w:rsid w:val="00F26607"/>
    <w:rsid w:val="00F2770D"/>
    <w:rsid w:val="00F32A16"/>
    <w:rsid w:val="00F36470"/>
    <w:rsid w:val="00F37715"/>
    <w:rsid w:val="00F42A0C"/>
    <w:rsid w:val="00F45EFC"/>
    <w:rsid w:val="00F50E8C"/>
    <w:rsid w:val="00F56FB3"/>
    <w:rsid w:val="00F63208"/>
    <w:rsid w:val="00F63B30"/>
    <w:rsid w:val="00F63C64"/>
    <w:rsid w:val="00F64E9B"/>
    <w:rsid w:val="00F6572D"/>
    <w:rsid w:val="00F8481C"/>
    <w:rsid w:val="00F9124B"/>
    <w:rsid w:val="00F943EA"/>
    <w:rsid w:val="00F9494A"/>
    <w:rsid w:val="00F971BA"/>
    <w:rsid w:val="00FA367E"/>
    <w:rsid w:val="00FA378F"/>
    <w:rsid w:val="00FA3E83"/>
    <w:rsid w:val="00FA415F"/>
    <w:rsid w:val="00FA70EE"/>
    <w:rsid w:val="00FB5D97"/>
    <w:rsid w:val="00FB662D"/>
    <w:rsid w:val="00FB7B39"/>
    <w:rsid w:val="00FB7DB8"/>
    <w:rsid w:val="00FD1CC8"/>
    <w:rsid w:val="00FD3800"/>
    <w:rsid w:val="00FD43A2"/>
    <w:rsid w:val="00FD6852"/>
    <w:rsid w:val="00FE0C9A"/>
    <w:rsid w:val="00FE2657"/>
    <w:rsid w:val="00FF2C62"/>
    <w:rsid w:val="00FF5D7A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CFED4D-4CFB-4698-9899-16CC54EE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5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">
    <w:name w:val="Hyperlink"/>
    <w:uiPriority w:val="99"/>
    <w:qFormat/>
    <w:rsid w:val="00843B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6398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0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8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46859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9040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9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84616846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DA69D-FFDD-4C7F-B5C5-35C8E50E1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612</Words>
  <Characters>3489</Characters>
  <Application>Microsoft Office Word</Application>
  <DocSecurity>0</DocSecurity>
  <Lines>29</Lines>
  <Paragraphs>8</Paragraphs>
  <ScaleCrop>false</ScaleCrop>
  <Company>CATT</Company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zhoulei</cp:lastModifiedBy>
  <cp:revision>7</cp:revision>
  <dcterms:created xsi:type="dcterms:W3CDTF">2021-12-27T11:46:00Z</dcterms:created>
  <dcterms:modified xsi:type="dcterms:W3CDTF">2022-01-04T03:00:00Z</dcterms:modified>
</cp:coreProperties>
</file>